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CECA" w14:textId="77777777" w:rsidR="001148CA" w:rsidRPr="00C375EC" w:rsidRDefault="001148CA" w:rsidP="001148CA">
      <w:pPr>
        <w:pStyle w:val="Heading2"/>
      </w:pPr>
      <w:r w:rsidRPr="00C375EC">
        <w:t>Appendix B – Analysis of the Queensland Government’s ‘</w:t>
      </w:r>
      <w:r w:rsidRPr="00C375EC">
        <w:rPr>
          <w:i/>
          <w:iCs w:val="0"/>
        </w:rPr>
        <w:t>Our Way’</w:t>
      </w:r>
      <w:r w:rsidRPr="00C375EC">
        <w:t xml:space="preserve"> strategy and the </w:t>
      </w:r>
      <w:r w:rsidRPr="00C375EC">
        <w:rPr>
          <w:i/>
          <w:iCs w:val="0"/>
        </w:rPr>
        <w:t>Family Responsibilities Commission Act 2008</w:t>
      </w:r>
      <w:r w:rsidRPr="00C375EC">
        <w:t>.</w:t>
      </w:r>
    </w:p>
    <w:p w14:paraId="5413D441" w14:textId="77777777" w:rsidR="001148CA" w:rsidRPr="00C375EC" w:rsidRDefault="001148CA" w:rsidP="001148CA">
      <w:r w:rsidRPr="00C375EC">
        <w:rPr>
          <w:lang w:val="en-GB"/>
        </w:rPr>
        <w:t>T</w:t>
      </w:r>
      <w:r w:rsidRPr="00C375EC">
        <w:t>he FRC Act supports Queensland’s ‘</w:t>
      </w:r>
      <w:r w:rsidRPr="00C375EC">
        <w:rPr>
          <w:i/>
          <w:iCs/>
        </w:rPr>
        <w:t>Our Way</w:t>
      </w:r>
      <w:r w:rsidRPr="00C375EC">
        <w:t>’ strategy, initiated to address the over-representation of Indigenous children in Queensland’s child protection system, as demonstrated in the following table.</w:t>
      </w:r>
    </w:p>
    <w:p w14:paraId="17C29649" w14:textId="77777777" w:rsidR="001148CA" w:rsidRPr="00C375EC" w:rsidRDefault="001148CA" w:rsidP="001148CA"/>
    <w:tbl>
      <w:tblPr>
        <w:tblStyle w:val="TableGrid"/>
        <w:tblW w:w="0" w:type="auto"/>
        <w:tblInd w:w="-5" w:type="dxa"/>
        <w:tblLook w:val="04A0" w:firstRow="1" w:lastRow="0" w:firstColumn="1" w:lastColumn="0" w:noHBand="0" w:noVBand="1"/>
      </w:tblPr>
      <w:tblGrid>
        <w:gridCol w:w="3119"/>
        <w:gridCol w:w="5380"/>
      </w:tblGrid>
      <w:tr w:rsidR="001148CA" w:rsidRPr="00C375EC" w14:paraId="5FF706D9" w14:textId="77777777" w:rsidTr="00BC0E0E">
        <w:tc>
          <w:tcPr>
            <w:tcW w:w="3119" w:type="dxa"/>
            <w:shd w:val="clear" w:color="auto" w:fill="7F7F7F" w:themeFill="text1" w:themeFillTint="80"/>
          </w:tcPr>
          <w:p w14:paraId="1F0C2BBD" w14:textId="77777777" w:rsidR="001148CA" w:rsidRPr="00C375EC" w:rsidRDefault="001148CA" w:rsidP="00BC0E0E">
            <w:pPr>
              <w:spacing w:after="0"/>
              <w:jc w:val="center"/>
              <w:rPr>
                <w:b/>
                <w:bCs/>
                <w:color w:val="FFFFFF" w:themeColor="background1"/>
              </w:rPr>
            </w:pPr>
            <w:r w:rsidRPr="00C375EC">
              <w:rPr>
                <w:b/>
                <w:bCs/>
                <w:i/>
                <w:iCs/>
                <w:color w:val="FFFFFF" w:themeColor="background1"/>
              </w:rPr>
              <w:t>Our Way</w:t>
            </w:r>
            <w:r w:rsidRPr="00C375EC">
              <w:rPr>
                <w:b/>
                <w:bCs/>
                <w:color w:val="FFFFFF" w:themeColor="background1"/>
              </w:rPr>
              <w:t xml:space="preserve"> Strategy</w:t>
            </w:r>
          </w:p>
          <w:p w14:paraId="30F6B47F" w14:textId="77777777" w:rsidR="001148CA" w:rsidRPr="00C375EC" w:rsidRDefault="001148CA" w:rsidP="00BC0E0E">
            <w:pPr>
              <w:jc w:val="center"/>
            </w:pPr>
            <w:r w:rsidRPr="00C375EC">
              <w:rPr>
                <w:b/>
                <w:bCs/>
                <w:color w:val="FFFFFF" w:themeColor="background1"/>
              </w:rPr>
              <w:t>Enablers and Building Blocks</w:t>
            </w:r>
          </w:p>
        </w:tc>
        <w:tc>
          <w:tcPr>
            <w:tcW w:w="5380" w:type="dxa"/>
            <w:shd w:val="clear" w:color="auto" w:fill="7F7F7F" w:themeFill="text1" w:themeFillTint="80"/>
          </w:tcPr>
          <w:p w14:paraId="037746E1" w14:textId="77777777" w:rsidR="001148CA" w:rsidRPr="00C375EC" w:rsidRDefault="001148CA" w:rsidP="00BC0E0E">
            <w:pPr>
              <w:spacing w:after="0"/>
              <w:jc w:val="center"/>
              <w:rPr>
                <w:b/>
                <w:bCs/>
                <w:i/>
                <w:iCs/>
                <w:color w:val="FFFFFF" w:themeColor="background1"/>
              </w:rPr>
            </w:pPr>
            <w:r w:rsidRPr="00C375EC">
              <w:rPr>
                <w:b/>
                <w:bCs/>
                <w:i/>
                <w:iCs/>
                <w:color w:val="FFFFFF" w:themeColor="background1"/>
              </w:rPr>
              <w:t>Family Responsibilities Commission Act 2008</w:t>
            </w:r>
          </w:p>
          <w:p w14:paraId="11E6D7F2" w14:textId="77777777" w:rsidR="001148CA" w:rsidRPr="00C375EC" w:rsidRDefault="001148CA" w:rsidP="00BC0E0E">
            <w:pPr>
              <w:jc w:val="center"/>
            </w:pPr>
            <w:r w:rsidRPr="00C375EC">
              <w:rPr>
                <w:b/>
                <w:bCs/>
                <w:color w:val="FFFFFF" w:themeColor="background1"/>
              </w:rPr>
              <w:t>Objects and Principles</w:t>
            </w:r>
          </w:p>
        </w:tc>
      </w:tr>
      <w:tr w:rsidR="001148CA" w:rsidRPr="00C375EC" w14:paraId="59EA5001" w14:textId="77777777" w:rsidTr="00BC0E0E">
        <w:tc>
          <w:tcPr>
            <w:tcW w:w="3119" w:type="dxa"/>
          </w:tcPr>
          <w:p w14:paraId="22CEABEB" w14:textId="77777777" w:rsidR="001148CA" w:rsidRPr="00C375EC" w:rsidRDefault="001148CA" w:rsidP="00BC0E0E">
            <w:pPr>
              <w:rPr>
                <w:b/>
                <w:bCs/>
              </w:rPr>
            </w:pPr>
            <w:r w:rsidRPr="00C375EC">
              <w:rPr>
                <w:b/>
                <w:bCs/>
              </w:rPr>
              <w:t>Focus on the child</w:t>
            </w:r>
          </w:p>
        </w:tc>
        <w:tc>
          <w:tcPr>
            <w:tcW w:w="5380" w:type="dxa"/>
          </w:tcPr>
          <w:p w14:paraId="6DA61E3A" w14:textId="77777777" w:rsidR="001148CA" w:rsidRPr="00C375EC" w:rsidRDefault="001148CA" w:rsidP="00BC0E0E">
            <w:pPr>
              <w:jc w:val="both"/>
              <w:rPr>
                <w:b/>
                <w:bCs/>
              </w:rPr>
            </w:pPr>
            <w:r w:rsidRPr="00C375EC">
              <w:rPr>
                <w:b/>
                <w:bCs/>
              </w:rPr>
              <w:t>Best interests of children</w:t>
            </w:r>
          </w:p>
          <w:p w14:paraId="18E27854" w14:textId="77777777" w:rsidR="001148CA" w:rsidRPr="00C375EC" w:rsidRDefault="001148CA" w:rsidP="00BC0E0E">
            <w:r w:rsidRPr="00C375EC">
              <w:t>s5(1): The FRC Act is to be administered under the principle that the wellbeing and best interests of a child are paramount.</w:t>
            </w:r>
          </w:p>
          <w:p w14:paraId="432EFFAA" w14:textId="77777777" w:rsidR="001148CA" w:rsidRPr="00C375EC" w:rsidRDefault="001148CA" w:rsidP="00BC0E0E">
            <w:r w:rsidRPr="00C375EC">
              <w:t xml:space="preserve">s5(2)(b): In a conference about an agency notice involving a child, the child’s views and wishes should be </w:t>
            </w:r>
            <w:proofErr w:type="gramStart"/>
            <w:r w:rsidRPr="00C375EC">
              <w:t>taken into account</w:t>
            </w:r>
            <w:proofErr w:type="gramEnd"/>
            <w:r w:rsidRPr="00C375EC">
              <w:t xml:space="preserve"> in a way that has regard to the child’s age and ability to understand.</w:t>
            </w:r>
          </w:p>
          <w:p w14:paraId="7D12EBBB" w14:textId="77777777" w:rsidR="001148CA" w:rsidRPr="00C375EC" w:rsidRDefault="001148CA" w:rsidP="00BC0E0E"/>
        </w:tc>
      </w:tr>
      <w:tr w:rsidR="001148CA" w:rsidRPr="00C375EC" w14:paraId="0B22A671" w14:textId="77777777" w:rsidTr="00BC0E0E">
        <w:tc>
          <w:tcPr>
            <w:tcW w:w="3119" w:type="dxa"/>
          </w:tcPr>
          <w:p w14:paraId="0D0C25EF" w14:textId="77777777" w:rsidR="001148CA" w:rsidRPr="00C375EC" w:rsidRDefault="001148CA" w:rsidP="00BC0E0E">
            <w:pPr>
              <w:rPr>
                <w:b/>
                <w:bCs/>
              </w:rPr>
            </w:pPr>
            <w:r w:rsidRPr="00C375EC">
              <w:rPr>
                <w:b/>
                <w:bCs/>
              </w:rPr>
              <w:t xml:space="preserve">Empower Aboriginal and Torres Strait Islander parents, </w:t>
            </w:r>
            <w:proofErr w:type="gramStart"/>
            <w:r w:rsidRPr="00C375EC">
              <w:rPr>
                <w:b/>
                <w:bCs/>
              </w:rPr>
              <w:t>families</w:t>
            </w:r>
            <w:proofErr w:type="gramEnd"/>
            <w:r w:rsidRPr="00C375EC">
              <w:rPr>
                <w:b/>
                <w:bCs/>
              </w:rPr>
              <w:t xml:space="preserve"> and communities</w:t>
            </w:r>
          </w:p>
        </w:tc>
        <w:tc>
          <w:tcPr>
            <w:tcW w:w="5380" w:type="dxa"/>
          </w:tcPr>
          <w:p w14:paraId="2618070F" w14:textId="77777777" w:rsidR="001148CA" w:rsidRPr="00C375EC" w:rsidRDefault="001148CA" w:rsidP="00BC0E0E">
            <w:pPr>
              <w:jc w:val="both"/>
              <w:rPr>
                <w:b/>
                <w:bCs/>
              </w:rPr>
            </w:pPr>
            <w:r w:rsidRPr="00C375EC">
              <w:rPr>
                <w:b/>
                <w:bCs/>
              </w:rPr>
              <w:t>Early intervention and local authority</w:t>
            </w:r>
          </w:p>
          <w:p w14:paraId="02D39E00" w14:textId="77777777" w:rsidR="001148CA" w:rsidRPr="00C375EC" w:rsidRDefault="001148CA" w:rsidP="00BC0E0E">
            <w:r w:rsidRPr="00C375EC">
              <w:t>s4(1)(b): A main object of the FRC Act is to help people in welfare reform community areas to resume primary responsibility for the wellbeing of their community and the individuals and families of the community.</w:t>
            </w:r>
          </w:p>
          <w:p w14:paraId="0B61076C" w14:textId="77777777" w:rsidR="001148CA" w:rsidRPr="00C375EC" w:rsidRDefault="001148CA" w:rsidP="00BC0E0E">
            <w:r w:rsidRPr="00C375EC">
              <w:t>s5(2)(a)(</w:t>
            </w:r>
            <w:proofErr w:type="spellStart"/>
            <w:r w:rsidRPr="00C375EC">
              <w:t>i</w:t>
            </w:r>
            <w:proofErr w:type="spellEnd"/>
            <w:r w:rsidRPr="00C375EC">
              <w:t>) &amp; (iii): The Commission should deal with matters in a way that facilitates early intervention…and makes appropriate use of community support services.</w:t>
            </w:r>
          </w:p>
          <w:p w14:paraId="24666E2A" w14:textId="77777777" w:rsidR="001148CA" w:rsidRPr="00C375EC" w:rsidRDefault="001148CA" w:rsidP="00BC0E0E">
            <w:r w:rsidRPr="00C375EC">
              <w:t xml:space="preserve">s5(2)(c): Aboriginal tradition and Island custom must be </w:t>
            </w:r>
            <w:proofErr w:type="gramStart"/>
            <w:r w:rsidRPr="00C375EC">
              <w:t>taken into account</w:t>
            </w:r>
            <w:proofErr w:type="gramEnd"/>
            <w:r w:rsidRPr="00C375EC">
              <w:t xml:space="preserve"> in matters involving Aboriginal people or Torres Strait Islanders.</w:t>
            </w:r>
          </w:p>
          <w:p w14:paraId="089D0703" w14:textId="77777777" w:rsidR="001148CA" w:rsidRPr="00C375EC" w:rsidRDefault="001148CA" w:rsidP="00BC0E0E"/>
        </w:tc>
      </w:tr>
      <w:tr w:rsidR="001148CA" w:rsidRPr="00C375EC" w14:paraId="32CD19E8" w14:textId="77777777" w:rsidTr="00BC0E0E">
        <w:tc>
          <w:tcPr>
            <w:tcW w:w="3119" w:type="dxa"/>
          </w:tcPr>
          <w:p w14:paraId="4B57FC8D" w14:textId="77777777" w:rsidR="001148CA" w:rsidRPr="00C375EC" w:rsidRDefault="001148CA" w:rsidP="00BC0E0E">
            <w:pPr>
              <w:rPr>
                <w:b/>
                <w:bCs/>
              </w:rPr>
            </w:pPr>
            <w:r w:rsidRPr="00C375EC">
              <w:rPr>
                <w:b/>
                <w:bCs/>
              </w:rPr>
              <w:t>Enable self-determination</w:t>
            </w:r>
          </w:p>
        </w:tc>
        <w:tc>
          <w:tcPr>
            <w:tcW w:w="5380" w:type="dxa"/>
          </w:tcPr>
          <w:p w14:paraId="098097F6" w14:textId="77777777" w:rsidR="001148CA" w:rsidRPr="00C375EC" w:rsidRDefault="001148CA" w:rsidP="00BC0E0E">
            <w:pPr>
              <w:jc w:val="both"/>
              <w:rPr>
                <w:b/>
                <w:bCs/>
              </w:rPr>
            </w:pPr>
            <w:r w:rsidRPr="00C375EC">
              <w:rPr>
                <w:b/>
                <w:bCs/>
              </w:rPr>
              <w:t>Local authority and decision-making</w:t>
            </w:r>
          </w:p>
          <w:p w14:paraId="2552755C" w14:textId="77777777" w:rsidR="001148CA" w:rsidRPr="00C375EC" w:rsidRDefault="001148CA" w:rsidP="00BC0E0E">
            <w:r w:rsidRPr="00C375EC">
              <w:t>s50: Constitution of commission for conferences requires Local Commissioners appointed for the welfare reform community area from where the client lives or lived.</w:t>
            </w:r>
          </w:p>
          <w:p w14:paraId="676D1EB7" w14:textId="77777777" w:rsidR="001148CA" w:rsidRPr="00C375EC" w:rsidRDefault="001148CA" w:rsidP="00BC0E0E">
            <w:r w:rsidRPr="00C375EC">
              <w:t>s51(3): In appointing Local Commissioners for conference the FRC must consider their appropriateness, having regard to the clan or family group to which the person belongs; and consider whether the Local Commissioners should be male or female.</w:t>
            </w:r>
          </w:p>
          <w:p w14:paraId="79E09173" w14:textId="77777777" w:rsidR="001148CA" w:rsidRDefault="001148CA" w:rsidP="00BC0E0E">
            <w:r w:rsidRPr="00C375EC">
              <w:t>The decision-making power of the FRC at conference is held by Aboriginal Commissioners.</w:t>
            </w:r>
          </w:p>
          <w:p w14:paraId="1AEDE093" w14:textId="6D3B9988" w:rsidR="00C46BFF" w:rsidRPr="00C375EC" w:rsidRDefault="00C46BFF" w:rsidP="00BC0E0E"/>
        </w:tc>
      </w:tr>
    </w:tbl>
    <w:p w14:paraId="479BA952" w14:textId="77777777" w:rsidR="003D5CCC" w:rsidRDefault="003D5CCC" w:rsidP="001148CA"/>
    <w:p w14:paraId="7F0263F4" w14:textId="4618FC81" w:rsidR="001148CA" w:rsidRPr="00C375EC" w:rsidRDefault="001148CA" w:rsidP="001148CA">
      <w:pPr>
        <w:rPr>
          <w:b/>
          <w:bCs/>
          <w:sz w:val="28"/>
          <w:szCs w:val="28"/>
        </w:rPr>
      </w:pPr>
      <w:r w:rsidRPr="00C375EC">
        <w:rPr>
          <w:b/>
          <w:bCs/>
          <w:sz w:val="28"/>
          <w:szCs w:val="28"/>
        </w:rPr>
        <w:lastRenderedPageBreak/>
        <w:t>Appendix B continued</w:t>
      </w:r>
    </w:p>
    <w:p w14:paraId="19C1775D" w14:textId="77777777" w:rsidR="001148CA" w:rsidRPr="00C375EC" w:rsidRDefault="001148CA" w:rsidP="001148CA"/>
    <w:tbl>
      <w:tblPr>
        <w:tblStyle w:val="TableGrid"/>
        <w:tblW w:w="0" w:type="auto"/>
        <w:tblLook w:val="04A0" w:firstRow="1" w:lastRow="0" w:firstColumn="1" w:lastColumn="0" w:noHBand="0" w:noVBand="1"/>
      </w:tblPr>
      <w:tblGrid>
        <w:gridCol w:w="3114"/>
        <w:gridCol w:w="5386"/>
      </w:tblGrid>
      <w:tr w:rsidR="001148CA" w:rsidRPr="00C375EC" w14:paraId="4D9A3EC0" w14:textId="77777777" w:rsidTr="00BC0E0E">
        <w:tc>
          <w:tcPr>
            <w:tcW w:w="3114" w:type="dxa"/>
            <w:shd w:val="clear" w:color="auto" w:fill="808080" w:themeFill="background1" w:themeFillShade="80"/>
          </w:tcPr>
          <w:p w14:paraId="2E0CE335" w14:textId="77777777" w:rsidR="001148CA" w:rsidRPr="00C375EC" w:rsidRDefault="001148CA" w:rsidP="00BC0E0E">
            <w:pPr>
              <w:spacing w:after="0"/>
              <w:jc w:val="center"/>
              <w:rPr>
                <w:b/>
                <w:bCs/>
                <w:color w:val="FFFFFF" w:themeColor="background1"/>
              </w:rPr>
            </w:pPr>
            <w:r w:rsidRPr="00C375EC">
              <w:rPr>
                <w:b/>
                <w:bCs/>
                <w:i/>
                <w:iCs/>
                <w:color w:val="FFFFFF" w:themeColor="background1"/>
              </w:rPr>
              <w:t>Our Way</w:t>
            </w:r>
            <w:r w:rsidRPr="00C375EC">
              <w:rPr>
                <w:b/>
                <w:bCs/>
                <w:color w:val="FFFFFF" w:themeColor="background1"/>
              </w:rPr>
              <w:t xml:space="preserve"> Strategy</w:t>
            </w:r>
          </w:p>
          <w:p w14:paraId="3F75397A" w14:textId="77777777" w:rsidR="001148CA" w:rsidRPr="00C375EC" w:rsidRDefault="001148CA" w:rsidP="00BC0E0E">
            <w:r w:rsidRPr="00C375EC">
              <w:rPr>
                <w:b/>
                <w:bCs/>
                <w:color w:val="FFFFFF" w:themeColor="background1"/>
              </w:rPr>
              <w:t>Enablers and Building Blocks</w:t>
            </w:r>
          </w:p>
        </w:tc>
        <w:tc>
          <w:tcPr>
            <w:tcW w:w="5386" w:type="dxa"/>
            <w:shd w:val="clear" w:color="auto" w:fill="808080" w:themeFill="background1" w:themeFillShade="80"/>
          </w:tcPr>
          <w:p w14:paraId="0F2AD344" w14:textId="77777777" w:rsidR="001148CA" w:rsidRPr="00C375EC" w:rsidRDefault="001148CA" w:rsidP="00BC0E0E">
            <w:pPr>
              <w:spacing w:after="0"/>
              <w:jc w:val="center"/>
              <w:rPr>
                <w:b/>
                <w:bCs/>
                <w:i/>
                <w:iCs/>
                <w:color w:val="FFFFFF" w:themeColor="background1"/>
              </w:rPr>
            </w:pPr>
            <w:r w:rsidRPr="00C375EC">
              <w:rPr>
                <w:b/>
                <w:bCs/>
                <w:i/>
                <w:iCs/>
                <w:color w:val="FFFFFF" w:themeColor="background1"/>
              </w:rPr>
              <w:t>Family Responsibilities Commission Act 2008</w:t>
            </w:r>
          </w:p>
          <w:p w14:paraId="78F7984A" w14:textId="77777777" w:rsidR="001148CA" w:rsidRPr="00C375EC" w:rsidRDefault="001148CA" w:rsidP="00BC0E0E">
            <w:pPr>
              <w:jc w:val="center"/>
            </w:pPr>
            <w:r w:rsidRPr="00C375EC">
              <w:rPr>
                <w:b/>
                <w:bCs/>
                <w:color w:val="FFFFFF" w:themeColor="background1"/>
              </w:rPr>
              <w:t>Objects and Principles</w:t>
            </w:r>
          </w:p>
        </w:tc>
      </w:tr>
      <w:tr w:rsidR="001148CA" w:rsidRPr="00C375EC" w14:paraId="11B17827" w14:textId="77777777" w:rsidTr="00BC0E0E">
        <w:tc>
          <w:tcPr>
            <w:tcW w:w="3114" w:type="dxa"/>
          </w:tcPr>
          <w:p w14:paraId="31662CEF" w14:textId="77777777" w:rsidR="001148CA" w:rsidRPr="00C375EC" w:rsidRDefault="001148CA" w:rsidP="00BC0E0E">
            <w:r w:rsidRPr="00C375EC">
              <w:rPr>
                <w:b/>
                <w:bCs/>
              </w:rPr>
              <w:t>Set high expectations and positive norms</w:t>
            </w:r>
          </w:p>
        </w:tc>
        <w:tc>
          <w:tcPr>
            <w:tcW w:w="5386" w:type="dxa"/>
          </w:tcPr>
          <w:p w14:paraId="37D696DB" w14:textId="77777777" w:rsidR="001148CA" w:rsidRPr="00C375EC" w:rsidRDefault="001148CA" w:rsidP="00BC0E0E">
            <w:pPr>
              <w:rPr>
                <w:b/>
                <w:bCs/>
              </w:rPr>
            </w:pPr>
            <w:r w:rsidRPr="00C375EC">
              <w:rPr>
                <w:b/>
                <w:bCs/>
              </w:rPr>
              <w:t>Socially responsible standards of behaviour</w:t>
            </w:r>
          </w:p>
          <w:p w14:paraId="3E6614B8" w14:textId="77777777" w:rsidR="001148CA" w:rsidRPr="00C375EC" w:rsidRDefault="001148CA" w:rsidP="00BC0E0E">
            <w:r w:rsidRPr="00C375EC">
              <w:t>s4(1)(a): A main object of the FRC Act is to support the restoration of socially responsible standards of behaviour and local authority in welfare reform community areas.</w:t>
            </w:r>
          </w:p>
          <w:p w14:paraId="6D35A36B" w14:textId="77777777" w:rsidR="001148CA" w:rsidRPr="00C375EC" w:rsidRDefault="001148CA" w:rsidP="00BC0E0E">
            <w:r w:rsidRPr="00C375EC">
              <w:t>s4(2)(b) The objects are to be achieved mainly by establishing the FRC… to deal with matters in a way that:</w:t>
            </w:r>
          </w:p>
          <w:p w14:paraId="3DCB3223" w14:textId="77777777" w:rsidR="001148CA" w:rsidRPr="00C375EC" w:rsidRDefault="001148CA" w:rsidP="001148CA">
            <w:pPr>
              <w:pStyle w:val="ListParagraph"/>
              <w:numPr>
                <w:ilvl w:val="0"/>
                <w:numId w:val="27"/>
              </w:numPr>
              <w:spacing w:after="120" w:line="260" w:lineRule="exact"/>
              <w:ind w:left="612" w:hanging="567"/>
              <w:rPr>
                <w:rFonts w:cs="Arial"/>
              </w:rPr>
            </w:pPr>
            <w:r w:rsidRPr="00C375EC">
              <w:rPr>
                <w:rFonts w:cs="Arial"/>
              </w:rPr>
              <w:t>encourages community members to engage in socially responsible standards of behaviour; and</w:t>
            </w:r>
          </w:p>
          <w:p w14:paraId="374F42B4" w14:textId="77777777" w:rsidR="001148CA" w:rsidRPr="00C375EC" w:rsidRDefault="001148CA" w:rsidP="001148CA">
            <w:pPr>
              <w:pStyle w:val="ListParagraph"/>
              <w:numPr>
                <w:ilvl w:val="0"/>
                <w:numId w:val="27"/>
              </w:numPr>
              <w:spacing w:after="120" w:line="260" w:lineRule="exact"/>
              <w:ind w:left="612" w:hanging="567"/>
              <w:rPr>
                <w:rFonts w:cs="Arial"/>
              </w:rPr>
            </w:pPr>
            <w:r w:rsidRPr="00C375EC">
              <w:rPr>
                <w:rFonts w:cs="Arial"/>
              </w:rPr>
              <w:t>promotes the interests, rights and wellbeing of children and other vulnerable persons living in a welfare reform community area.</w:t>
            </w:r>
          </w:p>
          <w:p w14:paraId="76BED2FF" w14:textId="77777777" w:rsidR="001148CA" w:rsidRPr="00C375EC" w:rsidRDefault="001148CA" w:rsidP="00BC0E0E"/>
        </w:tc>
      </w:tr>
    </w:tbl>
    <w:p w14:paraId="605B18DA" w14:textId="77777777" w:rsidR="001148CA" w:rsidRPr="00C375EC" w:rsidRDefault="001148CA" w:rsidP="001148CA"/>
    <w:sectPr w:rsidR="001148CA" w:rsidRPr="00C375EC" w:rsidSect="00C46BFF">
      <w:headerReference w:type="default" r:id="rId8"/>
      <w:footnotePr>
        <w:numRestart w:val="eachSect"/>
      </w:footnotePr>
      <w:pgSz w:w="11906" w:h="16838" w:code="9"/>
      <w:pgMar w:top="1701"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4031" w14:textId="77777777" w:rsidR="0076137A" w:rsidRDefault="0076137A" w:rsidP="0076137A">
    <w:pPr>
      <w:pStyle w:val="Header"/>
    </w:pPr>
  </w:p>
  <w:p w14:paraId="007F7910" w14:textId="77777777" w:rsidR="0076137A" w:rsidRDefault="0076137A" w:rsidP="0076137A">
    <w:pPr>
      <w:pStyle w:val="Header"/>
    </w:pPr>
  </w:p>
  <w:p w14:paraId="35540573" w14:textId="77777777" w:rsidR="0076137A" w:rsidRDefault="0076137A" w:rsidP="0076137A">
    <w:pPr>
      <w:pStyle w:val="Header"/>
    </w:pPr>
  </w:p>
  <w:p w14:paraId="7361CDD0" w14:textId="77777777" w:rsidR="0076137A" w:rsidRDefault="0076137A" w:rsidP="0076137A">
    <w:pPr>
      <w:pStyle w:val="Header"/>
    </w:pPr>
  </w:p>
  <w:p w14:paraId="0A21A362" w14:textId="77777777" w:rsidR="0076137A" w:rsidRDefault="0076137A" w:rsidP="0076137A">
    <w:pPr>
      <w:pStyle w:val="Header"/>
    </w:pPr>
  </w:p>
  <w:p w14:paraId="47859761" w14:textId="77777777" w:rsidR="0076137A" w:rsidRDefault="0076137A" w:rsidP="0076137A">
    <w:pPr>
      <w:pStyle w:val="Header"/>
    </w:pPr>
    <w:r>
      <w:t>Appendices</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5CCC"/>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37A"/>
    <w:rsid w:val="00761469"/>
    <w:rsid w:val="00763816"/>
    <w:rsid w:val="00763D72"/>
    <w:rsid w:val="00763F97"/>
    <w:rsid w:val="0076563D"/>
    <w:rsid w:val="007660C2"/>
    <w:rsid w:val="00766BEB"/>
    <w:rsid w:val="00770E5E"/>
    <w:rsid w:val="00771CB9"/>
    <w:rsid w:val="00772321"/>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1F8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BED"/>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46BFF"/>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876262356">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6</cp:revision>
  <cp:lastPrinted>2023-10-18T00:43:00Z</cp:lastPrinted>
  <dcterms:created xsi:type="dcterms:W3CDTF">2023-11-15T01:10:00Z</dcterms:created>
  <dcterms:modified xsi:type="dcterms:W3CDTF">2023-11-15T01:18:00Z</dcterms:modified>
</cp:coreProperties>
</file>